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宋体" w:hAnsi="宋体" w:eastAsia="宋体" w:cs="宋体"/>
          <w:i w:val="0"/>
          <w:caps w:val="0"/>
          <w:color w:val="333333"/>
          <w:spacing w:val="0"/>
          <w:sz w:val="24"/>
          <w:szCs w:val="24"/>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br w:type="textWrapping"/>
      </w:r>
      <w:bookmarkStart w:id="0" w:name="_GoBack"/>
      <w:r>
        <w:rPr>
          <w:rFonts w:hint="eastAsia" w:ascii="方正小标宋简体" w:hAnsi="方正小标宋简体" w:eastAsia="方正小标宋简体" w:cs="方正小标宋简体"/>
          <w:b w:val="0"/>
          <w:bCs/>
          <w:i w:val="0"/>
          <w:caps w:val="0"/>
          <w:color w:val="333333"/>
          <w:spacing w:val="0"/>
          <w:sz w:val="44"/>
          <w:szCs w:val="44"/>
          <w:bdr w:val="none" w:color="auto" w:sz="0" w:space="0"/>
          <w:shd w:val="clear" w:fill="FFFFFF"/>
        </w:rPr>
        <w:t>住房和城乡建设部等部门关于加强轻资产住房租赁企业监管的意见</w:t>
      </w:r>
      <w:r>
        <w:rPr>
          <w:rFonts w:hint="eastAsia" w:ascii="宋体" w:hAnsi="宋体" w:eastAsia="宋体" w:cs="宋体"/>
          <w:i w:val="0"/>
          <w:caps w:val="0"/>
          <w:color w:val="333333"/>
          <w:spacing w:val="0"/>
          <w:sz w:val="24"/>
          <w:szCs w:val="24"/>
          <w:bdr w:val="none" w:color="auto" w:sz="0" w:space="0"/>
          <w:shd w:val="clear" w:fill="FFFFFF"/>
        </w:rPr>
        <w:br w:type="textWrapp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caps w:val="0"/>
          <w:color w:val="333333"/>
          <w:spacing w:val="0"/>
          <w:sz w:val="32"/>
          <w:szCs w:val="32"/>
          <w:shd w:val="clear" w:fill="FFFFFF"/>
        </w:rPr>
        <w:t>建房规〔2021〕2号</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各省、自治区、直辖市人民政府，新疆生产建设兵团：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近年来，我国住房租赁市场快速发展，市场运行总体平稳，租金水平稳中有降，为解决居民住房问题发挥了重要作用。同时，部分从事转租经营的轻资产住房租赁企业（以下简称住房租赁企业），利用租金支付期限错配建立资金池，控制房源、哄抬租金，有的甚至利用承租人信用套取信贷资金，变相开展金融业务。近期，少数住房租赁企业资金链断裂，严重影响住房租赁当事人合法权益。为贯彻落实党中央、国务院决策部署，加强住房租赁企业监管，引导住房租赁企业回归住房租赁服务本源，防范化解金融风险，促进住房租赁市场健康发展，经国务院同意，现提出以下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bdr w:val="none" w:color="auto" w:sz="0" w:space="0"/>
          <w:shd w:val="clear" w:fill="FFFFFF"/>
        </w:rPr>
        <w:t>一、加强从业管理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从事住房租赁经营的企业，以及转租住房10套（间）以上的自然人，应当依法办理市场主体登记，取得营业执照，其名称和经营范围均应当包含“住房租赁”相关字样。住房租赁企业跨区域经营的，应当在开展经营活动的城市设立独立核算法人实体。住房租赁企业应当具有专门经营场所，开展经营前，通过住房租赁管理服务平台向所在城市住房和城乡建设主管部门推送开业信息，由所在城市住房和城乡建设主管部门通过住房租赁管理服务平台向社会公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二、规范住房租赁经营行为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住房租赁企业开展经营活动的信息系统应当落实互联网管理各项政策要求，接入所在城市住房租赁管理服务平台。住房租赁企业应当将经营的房源信息纳入住房租赁管理服务平台管理，并实时报送租赁合同期限、租金押金及其支付方式、承租人基本情况等租赁合同信息。住房租赁企业单次收取租金的周期原则上不超过3个月；除市场变动导致的正常经营行为外，支付房屋权利人的租金原则上不高于收取承租人的租金。提供住房租赁服务的网络信息平台应当核验房源信息发布者的真实身份信息及主体资格，不得为信息不实或者未提交开业报告、被列入经营异常名录的住房租赁企业及其从业人员发布房源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三、开展住房租赁资金监管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住房租赁企业应当在商业银行设立1个住房租赁资金监管账户，向所在城市住房和城乡建设部门备案，并通过住房租赁管理服务平台向社会公示。住房租赁企业发布房源信息时，应当同时发布住房租赁资金监管账户信息。住房租赁企业单次收取租金超过3个月的，或单次收取押金超过1个月的，应当将收取的租金、押金纳入监管账户，并通过监管账户向房屋权利人支付租金、向承租人退还押金。商业银行应当通过系统对接方式，向所在城市住房和城乡建设部门实时推送监管账户资金信息。纳入监管账户的资金，在确保足额按期支付房屋权利人租金和退还承租人押金的前提下，可以支付装修改造相应房屋等必要费用。城市住房和城乡建设部门要会同当地金融监管部门建立住房租赁资金监管制度，强化日常监督管理，督促住房租赁企业和商业银行落实责任，确保资金监管到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四、禁止套取使用住房租赁消费贷款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住房租赁企业不得变相开展金融业务，不得将住房租赁消费贷款相关内容嵌入住房租赁合同，不得利用承租人信用套取住房租赁消费贷款，不得以租金分期、租金优惠等名义诱导承租人使用住房租赁消费贷款。金融机构应当严格管理住房租赁消费贷款，加强授信审查和用途管理，发放贷款前必须采取有效手段核查借款人身份信息，评估还款能力，核实借款意愿，并做好记录。发放贷款时应明确向借款人告知相关业务的贷款性质、贷款金额、年化利率以及有关违约责任，切实保护借款人的知情权、选择权和公平交易权。金融机构发放住房租赁消费贷款，应当以备案的住房租赁合同为依据，贷款额度不得高于住房租赁合同金额，贷款期限不得超过住房租赁合同期限，发放贷款的频率应与借款人支付租金的频率匹配，贷款资金只能划入借款人账户，同时强化贷款资金用途管理，避免资金挪用风险。对于已实际发放给住房租赁企业的存量住房租赁消费贷款，金融机构应制定妥善处置方案，稳妥化解存量。住房和城乡建设部门要与金融机构共享有“高进低出”、“长收短付”等高风险经营行为的住房租赁企业名单，金融机构要对企业进行风险评估，加强名单式管理，对列入上述名单的企业不得发放贷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五、合理调控住房租金水平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住房租赁市场需求旺盛的大城市住房和城乡建设部门应当建立住房租金监测制度，定期公布不同区域、不同类型租赁住房的市场租金水平信息。积极引导住房租赁双方合理确定租金，稳定市场预期。发挥住房租赁企业，尤其是大中型住房租赁企业在稳定市场租金水平方面的示范作用。加强住房租赁市场租金监测，密切关注区域租金异常上涨情况，对于租金上涨过快的，可以采取必要措施稳定租金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六、妥善化解住房租赁矛盾纠纷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各有关方面应当加强协同联动，积极化解住房租赁引发的矛盾纠纷，妥善处置相关风险。相关部门对有高风险经营行为的住房租赁企业经营情况依法开展调查，企业应当积极配合。街道办事处、社区充分发挥基层网格管理人员作用，督促住房租赁合同备案，协助排查有高风险经营行为的住房租赁企业情况。发挥住房租赁相关行业协会作用，完善住房租赁行业执业规则，配合相关部门处理住房租赁矛盾纠纷，净化住房租赁市场环境。综合运用人民调解、行政调解、行业性专业性调解、司法调解等多元调解机制，维护住房租赁当事人合法权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七、落实城市政府主体责任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城市政府对规范发展住房租赁市场承担主体责任，要建立住房和城乡建设、发展改革、公安、市场监管、金融监管、网信等多部门协同的住房租赁联合监管机制，并将相关部门的监管工作纳入政府绩效考核体系。住房和城乡建设部门要加快完善住房租赁合同示范文本，建立健全住房租赁管理服务平台，通过平台实施穿透式监管，会同金融监管部门对住房租赁企业变相从事金融业务等违法违规行为加大查处力度。住房和城乡建设、发展改革部门要建立住房租赁企业及其从业人员信用评价体系，对住房租赁企业进行分级分类，采取差异化监管措施。市场监管部门要加大监管力度，依法查处虚假广告、哄抬租金等违法违规行为，严厉打击垄断行为。金融监管部门要指导金融机构加强住房租赁消费贷款管理。公安部门要对涉嫌合同诈骗等犯罪行为依法查处，必要时对企业法定代表人、实际控制人等相关人员依法采取相应措施。网信部门要对违规发布虚假信息的网络信息平台依法采取处置措施。各地要继续深入开展住房租赁市场秩序整治，推动部门信息共享，形成监管合力，净化市场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427" w:leftChars="2432" w:right="0" w:hanging="320" w:hangingChars="10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住房和城乡建设部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427" w:leftChars="2432" w:right="0" w:hanging="320" w:hangingChars="10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国家发展改革委</w:t>
      </w:r>
      <w:r>
        <w:rPr>
          <w:rFonts w:hint="eastAsia" w:ascii="仿宋_GB2312" w:hAnsi="仿宋_GB2312" w:eastAsia="仿宋_GB2312" w:cs="仿宋_GB2312"/>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caps w:val="0"/>
          <w:color w:val="333333"/>
          <w:spacing w:val="0"/>
          <w:sz w:val="32"/>
          <w:szCs w:val="32"/>
          <w:bdr w:val="none" w:color="auto" w:sz="0" w:space="0"/>
          <w:shd w:val="clear" w:fill="FFFFFF"/>
        </w:rPr>
        <w:t>公安部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427" w:leftChars="2432" w:right="0" w:hanging="320" w:hangingChars="10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市场监管总局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427" w:leftChars="2432" w:right="0" w:hanging="320" w:hangingChars="10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国家网信办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427" w:leftChars="2432" w:right="0" w:hanging="320" w:hangingChars="100"/>
        <w:jc w:val="left"/>
        <w:textAlignment w:val="auto"/>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银保监会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4480" w:firstLineChars="1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2021年4月15日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23E46"/>
    <w:rsid w:val="4232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2023-01-12T09:30:00Z</dcterms:created>
  <dc:creator>苏章飞</dc:creator>
  <cp:lastModifiedBy>苏章飞</cp:lastModifiedBy>
  <dcterms:modified xsi:type="dcterms:W3CDTF">2023-01-12T09:34:29Z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