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附件4：</w:t>
      </w:r>
    </w:p>
    <w:p>
      <w:pPr>
        <w:pStyle w:val="3"/>
        <w:jc w:val="center"/>
        <w:rPr>
          <w:rFonts w:hint="eastAsia" w:eastAsia="方正小标宋简体" w:asciiTheme="minorHAnsi" w:hAnsiTheme="minorHAnsi" w:cstheme="minorBidi"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eastAsia="方正小标宋简体" w:asciiTheme="minorHAnsi" w:hAnsiTheme="minorHAnsi" w:cstheme="minorBidi"/>
          <w:bCs/>
          <w:kern w:val="2"/>
          <w:sz w:val="44"/>
          <w:szCs w:val="44"/>
          <w:lang w:val="en-US" w:eastAsia="zh-CN" w:bidi="ar-SA"/>
        </w:rPr>
        <w:t>住房租赁企业综合评定自评表</w:t>
      </w:r>
    </w:p>
    <w:bookmarkEnd w:id="0"/>
    <w:tbl>
      <w:tblPr>
        <w:tblStyle w:val="4"/>
        <w:tblW w:w="9041" w:type="dxa"/>
        <w:tblInd w:w="-3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3467"/>
        <w:gridCol w:w="1093"/>
        <w:gridCol w:w="1098"/>
        <w:gridCol w:w="27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考核标准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标准分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信用考评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2020-2022年度，单个年度信用评定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（下同）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为AAA级的，计10分；AA级的，计8分；A级的，计6分；B级的，计4分。最高30分。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年度信用评级结果，可登录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市住房租赁交易服务平台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官网-信用信息查询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CE8CF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累计备案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Style w:val="7"/>
                <w:b w:val="0"/>
                <w:bCs/>
                <w:spacing w:val="0"/>
                <w:w w:val="100"/>
                <w:lang w:val="en-US" w:eastAsia="zh-CN" w:bidi="ar"/>
              </w:rPr>
              <w:t>截止2022年底，累计备案面积（去重），10万</w:t>
            </w:r>
            <w:r>
              <w:rPr>
                <w:rStyle w:val="8"/>
                <w:b w:val="0"/>
                <w:bCs/>
                <w:spacing w:val="0"/>
                <w:w w:val="100"/>
                <w:lang w:val="en-US" w:eastAsia="zh-CN" w:bidi="ar"/>
              </w:rPr>
              <w:t>平方米</w:t>
            </w:r>
            <w:r>
              <w:rPr>
                <w:rStyle w:val="7"/>
                <w:b w:val="0"/>
                <w:bCs/>
                <w:spacing w:val="0"/>
                <w:w w:val="100"/>
                <w:lang w:val="en-US" w:eastAsia="zh-CN" w:bidi="ar"/>
              </w:rPr>
              <w:t>以上计30分，5-10万平方米计20分，3-5万平方米计15分,3万平方米以下不计分。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登录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市住房租赁交易服务平台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管理端-统计分析-企业数据分析-筛选（日期2019.1.1---2022.12.31，房源去重）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重资产项目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集中式租赁住房，产权归属申请企业或总公司，单个项目计5分。最高15分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企业提供产权证明和运营方案等佐证材料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党建引领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建立党组织，以党建引领企业健康发展的，计10分。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企业提供证明材料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组织机构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内部架构完善，有固定经营场所，内部管理制度健全（安全生产、财务、投诉处理、档案、考勤）计5分，缺项不计分。最高5分。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企业提供证明材料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从业人员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截止2022年底，缴纳社保人员数量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以上的，计2分；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0人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以上的，计3分；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0人</w:t>
            </w:r>
            <w:r>
              <w:rPr>
                <w:rFonts w:hint="eastAsia" w:ascii="宋体" w:hAnsi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以上计5分。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企业提供证明材料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社会责任</w:t>
            </w:r>
          </w:p>
        </w:tc>
        <w:tc>
          <w:tcPr>
            <w:tcW w:w="3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参加各级、各类主体承办、发起的社会公益活动，积极履行社会责任，每个项目计1分。最高5分。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主办方书面证明或经核实后的相关活动资料（2019.1.1-2022.12.31）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4" w:beforeLines="50" w:line="280" w:lineRule="exact"/>
        <w:jc w:val="left"/>
        <w:textAlignment w:val="center"/>
        <w:rPr>
          <w:rFonts w:hint="eastAsia" w:ascii="宋体" w:hAnsi="宋体" w:eastAsia="宋体" w:cs="宋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说明</w:t>
      </w:r>
      <w:r>
        <w:rPr>
          <w:rFonts w:hint="eastAsia" w:ascii="宋体" w:hAnsi="宋体" w:eastAsia="宋体" w:cs="宋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center"/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申报条件：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center"/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工商注册地在合肥市区范围内，且经营范围包含房屋租赁类经营业务的住房租赁企业，符合以下条件的，可申报参加综合评定：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center"/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（一）在合肥市住房租赁协会诚信系统完成机构及从业人员实名登记。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center"/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（二）截至2022年12月31日运营且备案房源达1000间或3万平方米以上。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二、存在以下情形的，不在综合评价奖补支持范围：</w:t>
      </w: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1.存在《关于印发&lt;合肥市支持住房租赁市场发展中央专项资金管理办法&gt;的通知》（合房〔2020〕54号）第七条规定的情形的；</w:t>
      </w: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2.近两年无新增租赁合同网签备案，企业不具备可持续运营能力；</w:t>
      </w: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楷体" w:hAnsi="楷体" w:eastAsia="楷体" w:cs="楷体"/>
          <w:i w:val="0"/>
          <w:color w:val="000000"/>
          <w:spacing w:val="0"/>
          <w:w w:val="100"/>
          <w:kern w:val="0"/>
          <w:sz w:val="22"/>
          <w:szCs w:val="22"/>
          <w:u w:val="none"/>
          <w:lang w:val="en-US" w:eastAsia="zh-CN" w:bidi="ar"/>
        </w:rPr>
        <w:t>3.全资或控股子公司不可与母公司同时享受综合评价奖补。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25FC49"/>
    <w:multiLevelType w:val="singleLevel"/>
    <w:tmpl w:val="8F25FC4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60274"/>
    <w:rsid w:val="7EF6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semiHidden/>
    <w:uiPriority w:val="0"/>
    <w:rPr>
      <w:rFonts w:ascii="仿宋_GB2312" w:hAnsi="Calibri"/>
      <w:b/>
      <w:szCs w:val="22"/>
    </w:rPr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toc 1"/>
    <w:basedOn w:val="1"/>
    <w:next w:val="1"/>
    <w:semiHidden/>
    <w:qFormat/>
    <w:uiPriority w:val="99"/>
    <w:pPr>
      <w:spacing w:line="240" w:lineRule="atLeast"/>
    </w:pPr>
    <w:rPr>
      <w:rFonts w:ascii="Calibri" w:hAnsi="Calibri" w:eastAsia="仿宋_GB2312" w:cs="Calibri"/>
      <w:sz w:val="28"/>
      <w:szCs w:val="28"/>
    </w:rPr>
  </w:style>
  <w:style w:type="paragraph" w:customStyle="1" w:styleId="6">
    <w:name w:val="Char"/>
    <w:basedOn w:val="1"/>
    <w:link w:val="5"/>
    <w:qFormat/>
    <w:uiPriority w:val="0"/>
    <w:pPr>
      <w:spacing w:line="360" w:lineRule="auto"/>
    </w:pPr>
    <w:rPr>
      <w:rFonts w:ascii="仿宋_GB2312" w:hAnsi="Calibri"/>
      <w:b/>
      <w:szCs w:val="22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2023-05-30T03:42:00Z</dcterms:created>
  <dc:creator>yangmt</dc:creator>
  <cp:lastModifiedBy>yangmt</cp:lastModifiedBy>
  <dcterms:modified xsi:type="dcterms:W3CDTF">2023-05-30T03:42:30Z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